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1C" w:rsidRPr="00281C57" w:rsidRDefault="00F9141C" w:rsidP="0028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57">
        <w:rPr>
          <w:rFonts w:ascii="Times New Roman" w:hAnsi="Times New Roman" w:cs="Times New Roman"/>
          <w:b/>
          <w:sz w:val="28"/>
          <w:szCs w:val="28"/>
        </w:rPr>
        <w:t xml:space="preserve">Законодавство України щодо протидії </w:t>
      </w:r>
      <w:proofErr w:type="gramStart"/>
      <w:r w:rsidRPr="00281C57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b/>
          <w:sz w:val="28"/>
          <w:szCs w:val="28"/>
        </w:rPr>
        <w:t>інгу</w:t>
      </w:r>
    </w:p>
    <w:p w:rsidR="00F9141C" w:rsidRPr="00281C57" w:rsidRDefault="00F9141C" w:rsidP="00281C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Закон України «Про внесення змін до деяких законодавчих актів України щодо протидії </w:t>
      </w:r>
      <w:proofErr w:type="gramStart"/>
      <w:r w:rsidRPr="00281C57">
        <w:rPr>
          <w:rFonts w:ascii="Times New Roman" w:hAnsi="Times New Roman" w:cs="Times New Roman"/>
          <w:i/>
          <w:sz w:val="28"/>
          <w:szCs w:val="28"/>
          <w:u w:val="single"/>
        </w:rPr>
        <w:t>бул</w:t>
      </w:r>
      <w:proofErr w:type="gramEnd"/>
      <w:r w:rsidRPr="00281C57">
        <w:rPr>
          <w:rFonts w:ascii="Times New Roman" w:hAnsi="Times New Roman" w:cs="Times New Roman"/>
          <w:i/>
          <w:sz w:val="28"/>
          <w:szCs w:val="28"/>
          <w:u w:val="single"/>
        </w:rPr>
        <w:t>інгу</w:t>
      </w:r>
      <w:r w:rsidR="00281C57" w:rsidRPr="00281C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81C57">
        <w:rPr>
          <w:rFonts w:ascii="Times New Roman" w:hAnsi="Times New Roman" w:cs="Times New Roman"/>
          <w:i/>
          <w:sz w:val="28"/>
          <w:szCs w:val="28"/>
          <w:u w:val="single"/>
        </w:rPr>
        <w:t>(цькуванню)»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Верховна Рада України постановля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I. Внести зміни до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законодавчих актів України: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81C57">
        <w:rPr>
          <w:rFonts w:ascii="Times New Roman" w:hAnsi="Times New Roman" w:cs="Times New Roman"/>
          <w:color w:val="0070C0"/>
          <w:sz w:val="28"/>
          <w:szCs w:val="28"/>
        </w:rPr>
        <w:t>1.У Кодексі України про адміністративні правопорушення (Відомості Верховно</w:t>
      </w:r>
      <w:proofErr w:type="gramStart"/>
      <w:r w:rsidRPr="00281C57">
        <w:rPr>
          <w:rFonts w:ascii="Times New Roman" w:hAnsi="Times New Roman" w:cs="Times New Roman"/>
          <w:color w:val="0070C0"/>
          <w:sz w:val="28"/>
          <w:szCs w:val="28"/>
        </w:rPr>
        <w:t>ї Р</w:t>
      </w:r>
      <w:proofErr w:type="gramEnd"/>
      <w:r w:rsidRPr="00281C57">
        <w:rPr>
          <w:rFonts w:ascii="Times New Roman" w:hAnsi="Times New Roman" w:cs="Times New Roman"/>
          <w:color w:val="0070C0"/>
          <w:sz w:val="28"/>
          <w:szCs w:val="28"/>
        </w:rPr>
        <w:t>ади УРСР, 1984 р., № 51, ст. 1122):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1) частину другу статті 13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цифр «173» доповнити цифрами «173-4»;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2) доповнити статтею 173-4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173-4.</w:t>
      </w:r>
      <w:r w:rsidRPr="00281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 (цькування) учасника освітнього процесу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бути чи була заподіяна шкода психічному або фізичному здоров’ю потерпілого, – 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строк від двадцяти до сорока годин.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накладення адміністративного стягнення, –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років, – 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на строк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від двадцяти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до сорока годин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 xml:space="preserve">Діяння, передбачене частиною другою цієї статті, вчинене малолітньою або неповнолітньою особою віком від чотирнадцяти до шістнадцяти років, – тягне за собою накладення штрафу на батьків або осіб, які їх замінюють, від </w:t>
      </w:r>
      <w:r w:rsidRPr="00281C57">
        <w:rPr>
          <w:rFonts w:ascii="Times New Roman" w:hAnsi="Times New Roman" w:cs="Times New Roman"/>
          <w:sz w:val="28"/>
          <w:szCs w:val="28"/>
        </w:rPr>
        <w:lastRenderedPageBreak/>
        <w:t>ста до двохсот неоподатковуваних мінімумів доходів громадян або громадські роботи на строк від сорока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до шістдесяти годин.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Неповідомлення керівником закладу освіти уповноваженим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ідрозділам органів Національної поліції  України про випадки булінгу (цькування) учасника освітнього процесу – тягне за собою накладення штрафу від п’ятдесяти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перший частини третьої статті 184 доповнити словами та цифрами «крім порушень, передбачених частинами третьою або четвертою статті 173-4 цього Кодексу»;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4) статтю 221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цифр «173-173-2» доповнити цифрами «173-4»;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5) абзац другий пункту 1 частини першої статті 255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цифр «173-173-2» доповнити цифрами «173-4».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81C57">
        <w:rPr>
          <w:rFonts w:ascii="Times New Roman" w:hAnsi="Times New Roman" w:cs="Times New Roman"/>
          <w:color w:val="0070C0"/>
          <w:sz w:val="28"/>
          <w:szCs w:val="28"/>
        </w:rPr>
        <w:t>2. У Законі України«Про освіту» (Відомості Верховно</w:t>
      </w:r>
      <w:proofErr w:type="gramStart"/>
      <w:r w:rsidRPr="00281C57">
        <w:rPr>
          <w:rFonts w:ascii="Times New Roman" w:hAnsi="Times New Roman" w:cs="Times New Roman"/>
          <w:color w:val="0070C0"/>
          <w:sz w:val="28"/>
          <w:szCs w:val="28"/>
        </w:rPr>
        <w:t>ї Р</w:t>
      </w:r>
      <w:proofErr w:type="gramEnd"/>
      <w:r w:rsidRPr="00281C57">
        <w:rPr>
          <w:rFonts w:ascii="Times New Roman" w:hAnsi="Times New Roman" w:cs="Times New Roman"/>
          <w:color w:val="0070C0"/>
          <w:sz w:val="28"/>
          <w:szCs w:val="28"/>
        </w:rPr>
        <w:t>ади України, 2017 р., № 38-39, ст. 380):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1) частину першу статті 1 доповнити пунктом 3-1 такого змісту: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3-1)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 (цькування)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бути чи була заподіяна шкода психічному або фізичному здоров’ю потерпілого.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Типовими ознаками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є: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систематичність (повторюваність) діяння;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наявність сторін – кривдник (булер), потерпілий (жертва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інгу), спостерігачі (за наявності);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ідпорядкування потерпілого інтересам кривдника, та/або спричинення соціальної ізоляції потерпілого;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 xml:space="preserve">2) частину другу статті 25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дев’ятого доповнити новим абзацом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здійснює контроль за виконанням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(цькуванню) в закладі освіти; розглядає скарги про відмову у реагуванні на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зв’язку з цим абзац десятий вважати абзацом одинадцятим;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3) частину третю статті 26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дев’ятого доповнити п’ятьма новими абзацами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забезпечує створення у закладі освіти безпечного освітнього середовища, вільного від насильства та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(цькування), у тому числі: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з урахуванням пропозицій територіальних органів (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розглядає заяви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забезпечує виконання заходів для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 xml:space="preserve">повідомляє уповноваженим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ідрозділам органів Національної поліції України та службі у справах дітей про випадки булінгу (цькування) в закладі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зв’язку з цим абзац десятий вважати абзацом п’ятнадцятим;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4) частину другу статті 30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двадцятого доповнити чотирма новими абзацами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правила поведінки здобувача освіти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план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порядок реагування на доведені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закладі освіти та відповідальність осіб, причетних до булінгу (цькування).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У зв’язку з цим абзац двадцять перший вважати абзацом двадцять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п’ятим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;</w:t>
      </w:r>
    </w:p>
    <w:p w:rsidR="00D84D11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C57">
        <w:rPr>
          <w:rFonts w:ascii="Times New Roman" w:hAnsi="Times New Roman" w:cs="Times New Roman"/>
          <w:sz w:val="28"/>
          <w:szCs w:val="28"/>
        </w:rPr>
        <w:t>5) у статті 53: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частині першій: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абзац десятий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слів «форм насильства та експлуата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ції» доповнити словами «булінгу </w:t>
      </w:r>
      <w:r w:rsidRPr="00281C57">
        <w:rPr>
          <w:rFonts w:ascii="Times New Roman" w:hAnsi="Times New Roman" w:cs="Times New Roman"/>
          <w:sz w:val="28"/>
          <w:szCs w:val="28"/>
        </w:rPr>
        <w:t>(цькування)»;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десятого доповнити новим абзацом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У зв’язку з цим абзаци одинадцятий – сімнадцятий вважати відповідно абзацами дванадцятим –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ісімнадцятим;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частину третю доповнити абзацом шостим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повідомляти керівництво закладу освіти про факти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стосовно здобувачів освіти,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педагогічних, науково-педагогічних, наукових працівників, інших осіб, які залучаються до освітнього процесу,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ідком яких вони були особисто або про які отримали достовірну інформацію від інших осіб;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>6) у статті 54: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частину першу доповнити абзацом двадцятим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захист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частину другу доповнити абзацом чотирнадцятим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повідомляти керівництво закладу освіти про факти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стосовно здобувачів освіти,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педагогічних, науково-педагогічних, наукових працівників, інших осіб, які залучаються до освітнього процесу,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ідком якого вони були особисто або інформацію про які отримали від інших осіб, вживати невідкладних заходів для припинення булінгу (цькування);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7) у статті 55: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частині другій: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абзац восьмий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слів «закладу освіти» доповнити словами «у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(цькування)»;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доповнити абзацами дев’ятим і десятим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подавати керівництву або засновнику закладу освіти заяву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стосовно дитини або будь-якого іншого учасника освітнього процесу;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вимагати повного та неупередженого розслідування випадків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стосовно дитини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або будь-якого іншого учасника освітнього процесу;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частину третю доповнити абзацами одинадцятим і дванадцятим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сприяти керівництву закладу освіти у проведенні розслідування щодо випадків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виконувати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ішення та рекомендації комісії з розгляду випадків булінгу (цькування)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 xml:space="preserve">8) частину першу статті 64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восьмого доповнити двома новими абзацами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>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узагальнює та оприлюднює інформацію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зв’язку з цим абзаци дев’ятий – двадцять шостий вважати відповідно абзацами одинадцятим – двадцять восьмим;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9) частину першу статті 65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шостого доповнити новим абзацом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сприяють розробленню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зв’язку з цим абзаци сьомий і восьмий вважати відповідно абзацами восьмим і дев’ятим;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10) у статті 66: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частину першу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сьомого доповнити новим абзацом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сприяють розробленню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зв’язку з цим абзац восьмий вважати абзацом дев’ятим;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частину другу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одинадцятого доповнити новим абзацом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сприяють розробці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>У зв’язку з цим абзац дванадцятий вважати абзацом тринадцятим;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11) пункт 2 частини другої статті 71 доповнити абзацом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п’ятим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випадків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закладах освіти та заходів реагування на такі випадки, вжитих керівництвом закладу освіти або його засновником;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12) частину четверту статті 73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ісля абзацу третього доповнити двома новими абзацами такого змісту: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здійснювати перевірку заяв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аналізувати заходи для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 зв’язку з цим абзаци четвертий – восьмий вважати відповідно абзацами шостим – десятим;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13) частину другу статті 76 викласти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такій редакції: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ідками або вчинили булінг (цькування).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іально-педагогічний патронаж здійснюється соціальними педагогами.</w:t>
      </w:r>
    </w:p>
    <w:p w:rsidR="00F9141C" w:rsidRPr="00281C57" w:rsidRDefault="00F9141C" w:rsidP="00281C5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Законом України «Про внесення змін до деяких законодавчих актів України щодо протидії</w:t>
      </w:r>
      <w:r w:rsidR="00237CAE" w:rsidRPr="00237C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81C57">
        <w:rPr>
          <w:rFonts w:ascii="Times New Roman" w:hAnsi="Times New Roman" w:cs="Times New Roman"/>
          <w:sz w:val="28"/>
          <w:szCs w:val="28"/>
          <w:u w:val="single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  <w:u w:val="single"/>
        </w:rPr>
        <w:t>інгу (цькуванню)» вносяться зміни до таких законодавчих актів України:</w:t>
      </w:r>
    </w:p>
    <w:tbl>
      <w:tblPr>
        <w:tblStyle w:val="a3"/>
        <w:tblW w:w="0" w:type="auto"/>
        <w:tblLook w:val="04A0"/>
      </w:tblPr>
      <w:tblGrid>
        <w:gridCol w:w="3652"/>
        <w:gridCol w:w="2693"/>
        <w:gridCol w:w="3119"/>
      </w:tblGrid>
      <w:tr w:rsidR="003E5D61" w:rsidRPr="00281C57" w:rsidTr="003E5D61">
        <w:trPr>
          <w:trHeight w:val="698"/>
        </w:trPr>
        <w:tc>
          <w:tcPr>
            <w:tcW w:w="3652" w:type="dxa"/>
          </w:tcPr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>Кодексу України про адміністративні правопорушення</w:t>
            </w:r>
          </w:p>
        </w:tc>
        <w:tc>
          <w:tcPr>
            <w:tcW w:w="2693" w:type="dxa"/>
          </w:tcPr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Закону України «Про освіту»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загальну середню  освіту»</w:t>
            </w:r>
          </w:p>
        </w:tc>
      </w:tr>
      <w:tr w:rsidR="003E5D61" w:rsidRPr="00281C57" w:rsidTr="003E5D61">
        <w:trPr>
          <w:trHeight w:val="1163"/>
        </w:trPr>
        <w:tc>
          <w:tcPr>
            <w:tcW w:w="3652" w:type="dxa"/>
          </w:tcPr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статті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1734, 184, 221,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статті 1 п. 31,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25, 26, 30, 53,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54, 55, 64, 65,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>66, 71, 73, 76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 xml:space="preserve">статті 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57">
              <w:rPr>
                <w:rFonts w:ascii="Times New Roman" w:hAnsi="Times New Roman" w:cs="Times New Roman"/>
                <w:sz w:val="28"/>
                <w:szCs w:val="28"/>
              </w:rPr>
              <w:t>231, 29, 37, 39</w:t>
            </w:r>
          </w:p>
          <w:p w:rsidR="003E5D61" w:rsidRPr="00281C57" w:rsidRDefault="003E5D61" w:rsidP="00281C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5D61" w:rsidRPr="00281C57" w:rsidRDefault="003E5D61" w:rsidP="00281C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41C" w:rsidRPr="00281C57" w:rsidRDefault="00F9141C" w:rsidP="00237C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lastRenderedPageBreak/>
        <w:t>Витяги із Закону України «Про освіту»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1 п. 31: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 (цькування)–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могла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бути чи була заподіяна шкода психічному або фізичному здоров’ю потерпілого.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Типовими ознаками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є: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-  систематичність (повторюваність) діяння;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-  наявність сторін – кривдник (булер), потерпілий (жертва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інгу), спостерігачі (за наявності);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-  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ідпорядкування потерпілого інтересам кривдника, та/або спричинення соціальної ізоляції потерпілого.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52.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Категорії учасників освітнього процесу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Учасниками освітнього процесу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-  здобувачі освіти;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-  педагогічні, науково-педагогічні та наукові працівники;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-  батьки здобувачів освіти;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-  фізичні особи, які провадять освітню діяльність;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-  інші особи, передбачені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іальними законами та залучені до освітнього процесу у порядку, що встановлюється закладом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25.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Права і обов’язки засновника закладу освіти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здійснює контроль за виконанням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(цькуванню) в закладі освіти; розглядає скарги про відмову у реагуванні на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</w:t>
      </w:r>
      <w:r w:rsidRPr="00281C57">
        <w:rPr>
          <w:rFonts w:ascii="Times New Roman" w:hAnsi="Times New Roman" w:cs="Times New Roman"/>
          <w:sz w:val="28"/>
          <w:szCs w:val="28"/>
        </w:rPr>
        <w:lastRenderedPageBreak/>
        <w:t xml:space="preserve">закладі освіти та вживає заходів для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іальних та психолого-педагогічних послуг здобувачам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освіти, які вчинили булінг (цькування), стали його свідками або постраждали від булінгу.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 xml:space="preserve">Стаття 26. </w:t>
      </w:r>
      <w:r w:rsidRPr="00281C57">
        <w:rPr>
          <w:rFonts w:ascii="Times New Roman" w:hAnsi="Times New Roman" w:cs="Times New Roman"/>
          <w:sz w:val="28"/>
          <w:szCs w:val="28"/>
        </w:rPr>
        <w:t>Керівник закладу освіти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забезпечує створення у закладі освіти безпечного освітнього середовища, вільного від насильства та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(цькування), у тому числі: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з урахуванням пропозицій територіальних органів (підрозділів) Національної поліції України, центрального органу виконавчої влади, що забезпечує формування та реалізує державну політику у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розглядає заяви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відповідних заходів реагування; </w:t>
      </w:r>
      <w:r w:rsidRPr="00281C57">
        <w:rPr>
          <w:rFonts w:ascii="Times New Roman" w:hAnsi="Times New Roman" w:cs="Times New Roman"/>
          <w:sz w:val="28"/>
          <w:szCs w:val="28"/>
        </w:rPr>
        <w:t xml:space="preserve">забезпечує виконання заходів для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іальних та психолого-педагогічних послуг здобувачам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освіти, які вчинили булінг, стали його свідками або постраждали від булінгу (цькування);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повідомляє уп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овноваженим підрозділам органів </w:t>
      </w:r>
      <w:r w:rsidRPr="00281C57">
        <w:rPr>
          <w:rFonts w:ascii="Times New Roman" w:hAnsi="Times New Roman" w:cs="Times New Roman"/>
          <w:sz w:val="28"/>
          <w:szCs w:val="28"/>
        </w:rPr>
        <w:t>Національної поліції України та службі у справах дітей про випадки булінгу (цькування) в закладі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30.</w:t>
      </w:r>
      <w:r w:rsidRPr="00281C57">
        <w:rPr>
          <w:rFonts w:ascii="Times New Roman" w:hAnsi="Times New Roman" w:cs="Times New Roman"/>
          <w:sz w:val="28"/>
          <w:szCs w:val="28"/>
        </w:rPr>
        <w:t>Прозорість та інформаційна відкритість закладу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Заклади освіти, що мають ліцензію на провадження ос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вітньої діяльності, зобов’язані </w:t>
      </w:r>
      <w:r w:rsidRPr="00281C57">
        <w:rPr>
          <w:rFonts w:ascii="Times New Roman" w:hAnsi="Times New Roman" w:cs="Times New Roman"/>
          <w:sz w:val="28"/>
          <w:szCs w:val="28"/>
        </w:rPr>
        <w:t>забезпечувати на своїх веб-сайтах (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разі їх відсутності – на веб-сайтах своїх засновників) відкритий доступ до такої інформації та документів: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правила поведінки здобувача освіти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план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закладі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порядок реагування на доведені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закладі освіти та відповідальність осіб, причетних до булінгу (цькування).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Стаття 53</w:t>
      </w:r>
      <w:r w:rsidRPr="00281C57">
        <w:rPr>
          <w:rFonts w:ascii="Times New Roman" w:hAnsi="Times New Roman" w:cs="Times New Roman"/>
          <w:sz w:val="28"/>
          <w:szCs w:val="28"/>
        </w:rPr>
        <w:t>. Права та обов’язки здобувачів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Здобувачі освіти мають право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захист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 час освітнього процесу від приниження честі та гідності, будь-яких форм насильства та експлуатації, булінгу (цькування), дискримінації за будь-якою ознакою, пропаганди та агітації, що завдають шкоди здоров’ю здобувача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повідомляти керівництво закладу освіти про факти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стосовно здобувачів освіти, педагогічних, науково-педагогічних, наукових працівників, інших осіб, які залучаються до освітнього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процесу, свідком яких вони були особисто або про які отримали достовірну інформацію від інших осіб.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54.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Права та обов’язки педагогічних, науково-педагогічних і наукових працівників, інших осіб,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які залучаються до освітнього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Pr="00281C57">
        <w:rPr>
          <w:rFonts w:ascii="Times New Roman" w:hAnsi="Times New Roman" w:cs="Times New Roman"/>
          <w:sz w:val="28"/>
          <w:szCs w:val="28"/>
        </w:rPr>
        <w:t xml:space="preserve">захист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повідомляти керівництво закладу освіти про факти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стосовно здобувачів освіти, педагогічних, науково-педагогічних, наукових працівників, інших осіб, які залучаються до освітнього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цькування);</w:t>
      </w:r>
      <w:proofErr w:type="gramEnd"/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55.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Права та обов’язки батьків здобувачів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Батьки здобувачів освіти мають право: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отримувати інформацію про діяльність закладу освіти, у тому числі щодо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особам, які постраждали від булінгу (цькування), стали його свідками або вчинили булінг (цькування),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 xml:space="preserve">подавати керівництву або засновнику закладу освіти заяву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(цькування) стосовно 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дитини або будь-якого іншого учасника освітнього процесу;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вимагати повного та неупередженого розслідування випадків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стосовно дитини або будь-якого іншо</w:t>
      </w:r>
      <w:r w:rsidR="00D84D11" w:rsidRPr="00281C57">
        <w:rPr>
          <w:rFonts w:ascii="Times New Roman" w:hAnsi="Times New Roman" w:cs="Times New Roman"/>
          <w:sz w:val="28"/>
          <w:szCs w:val="28"/>
        </w:rPr>
        <w:t>го учасника освітнього процесу.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Батьки здобувачів освіти зобов’язані: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сприяти керівництву закладу освіти у проведенні розс</w:t>
      </w:r>
      <w:r w:rsidR="00D84D11" w:rsidRPr="00281C57">
        <w:rPr>
          <w:rFonts w:ascii="Times New Roman" w:hAnsi="Times New Roman" w:cs="Times New Roman"/>
          <w:sz w:val="28"/>
          <w:szCs w:val="28"/>
        </w:rPr>
        <w:t xml:space="preserve">лідування щодо випадків </w:t>
      </w:r>
      <w:proofErr w:type="gramStart"/>
      <w:r w:rsidR="00D84D11"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D84D11" w:rsidRPr="00281C57">
        <w:rPr>
          <w:rFonts w:ascii="Times New Roman" w:hAnsi="Times New Roman" w:cs="Times New Roman"/>
          <w:sz w:val="28"/>
          <w:szCs w:val="28"/>
        </w:rPr>
        <w:t xml:space="preserve">інгу </w:t>
      </w:r>
      <w:r w:rsidRPr="00281C57">
        <w:rPr>
          <w:rFonts w:ascii="Times New Roman" w:hAnsi="Times New Roman" w:cs="Times New Roman"/>
          <w:sz w:val="28"/>
          <w:szCs w:val="28"/>
        </w:rPr>
        <w:t>(цькування);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виконувати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ішення та рекомендації комісії з розгляду випадків булінгу (цькування) в закладі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64</w:t>
      </w:r>
      <w:r w:rsidRPr="00281C57">
        <w:rPr>
          <w:rFonts w:ascii="Times New Roman" w:hAnsi="Times New Roman" w:cs="Times New Roman"/>
          <w:sz w:val="28"/>
          <w:szCs w:val="28"/>
        </w:rPr>
        <w:t xml:space="preserve">. Повноваження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центрального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органу виконавчої влади у сфері освіти і науки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Центральний орган виконавчої влади у сфері освіти і науки: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>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  <w:r w:rsidR="00281C57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узагальнює та оприлюднює інформацію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65.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Повноваження державних органі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, до сфери управління яких належать заклади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1. Державні органи, до сфери управління яких належать заклади освіти: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«сприяють розробленню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освіти».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66.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Повноваження органів місцевого самоврядування, Верховно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ї Р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ади Автономної Республіки </w:t>
      </w:r>
      <w:r w:rsidR="00281C57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Крим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 xml:space="preserve">1. Верховна Рада Автономної Республіки Крим, обласні ради, Київська та Севастопольська міські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сприяють розробленню плану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71.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Громадський нагляд (контроль) у сфері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Суб’єкти громадського нагляду (контролю) мають право: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2) проводити моніторинг та оприлюднювати результати, зокрема, щодо:</w:t>
      </w:r>
      <w:r w:rsidR="00281C57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«випадків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закладах освіти та заходів реагування на такі випадки, вжитих керівництвом закладу освіти або його засновником»;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73.</w:t>
      </w:r>
      <w:r w:rsidRPr="00281C57">
        <w:rPr>
          <w:rFonts w:ascii="Times New Roman" w:hAnsi="Times New Roman" w:cs="Times New Roman"/>
          <w:sz w:val="28"/>
          <w:szCs w:val="28"/>
        </w:rPr>
        <w:t xml:space="preserve"> Інститут освітнього омбудсмена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Освітній омбудсмен відповідно до покладених на нього завдань має право: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здійснювати перевірку заяв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</w:t>
      </w:r>
      <w:r w:rsidR="00281C57" w:rsidRPr="00281C57">
        <w:rPr>
          <w:rFonts w:ascii="Times New Roman" w:hAnsi="Times New Roman" w:cs="Times New Roman"/>
          <w:sz w:val="28"/>
          <w:szCs w:val="28"/>
        </w:rPr>
        <w:t xml:space="preserve">я) в закладі освіти, повноту та </w:t>
      </w:r>
      <w:r w:rsidRPr="00281C57">
        <w:rPr>
          <w:rFonts w:ascii="Times New Roman" w:hAnsi="Times New Roman" w:cs="Times New Roman"/>
          <w:sz w:val="28"/>
          <w:szCs w:val="28"/>
        </w:rPr>
        <w:t>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аналізувати заходи для надання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76.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Психологічна служба та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іально-педагогічний патронаж у системі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іально-педагогічний патронаж у системі освіти сприяє взаємодії закладів освіти, сім’ї</w:t>
      </w:r>
      <w:r w:rsidR="002C49A2" w:rsidRPr="002C49A2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ідками або вчинили булінг (цькування).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іально-педагогічний патронаж здійснюється соціальними педагогами.</w:t>
      </w:r>
      <w:r w:rsidRPr="00281C57">
        <w:rPr>
          <w:rFonts w:ascii="Times New Roman" w:hAnsi="Times New Roman" w:cs="Times New Roman"/>
          <w:sz w:val="28"/>
          <w:szCs w:val="28"/>
        </w:rPr>
        <w:cr/>
      </w:r>
    </w:p>
    <w:p w:rsidR="00F9141C" w:rsidRPr="00281C57" w:rsidRDefault="00F9141C" w:rsidP="002C49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Витяг з Закону України «Про загальну середню освіту»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231.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Керівник закладу загальної середньої освіти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lastRenderedPageBreak/>
        <w:t>Права і обов’язки керівника закладу загальної середньої освіти визначаються Законом України «Про освіту», цим Законом та іншими нормативно-правовими актами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29.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Права та обов’язки батьків або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, які їх замінюють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1. Батьки або особи, які їх замінюють, мають право: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подавати заяву керівництву закладу загальної середньої освіти або його засновнику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(цькуванню) стосовно дитини або будь-якого іншого учасника освітнього процесу;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вимагати повного та неупередженого розслідування випадків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стосовно дитини або будь-якого іншого учасника освітнього процесу.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Батьки або особи, які їх замінюють, зобов’язані: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сприяти керівництву закладу загальної середньої освіти у проведенні розслідування щодо виявлених </w:t>
      </w:r>
      <w:r w:rsidR="00281C57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 xml:space="preserve">фактів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(цькування);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виконувати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ішення та рекомендації комісії з розгляду випадків булінгу (цькування) в закладі загальної середньої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t>Стаття 37.</w:t>
      </w:r>
      <w:r w:rsidRPr="00281C57">
        <w:rPr>
          <w:rFonts w:ascii="Times New Roman" w:hAnsi="Times New Roman" w:cs="Times New Roman"/>
          <w:sz w:val="28"/>
          <w:szCs w:val="28"/>
        </w:rPr>
        <w:t xml:space="preserve"> Повноваження органів виконавчої влади та органів місцевого самоврядування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 системі загальної середньої освіти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 xml:space="preserve">Центральний орган виконавчої влади, що реалізує державну політику у сфері освіти: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C57">
        <w:rPr>
          <w:rFonts w:ascii="Times New Roman" w:hAnsi="Times New Roman" w:cs="Times New Roman"/>
          <w:sz w:val="28"/>
          <w:szCs w:val="28"/>
        </w:rPr>
        <w:t xml:space="preserve">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</w:t>
      </w:r>
      <w:r w:rsidR="00281C57" w:rsidRPr="00281C57">
        <w:rPr>
          <w:rFonts w:ascii="Times New Roman" w:hAnsi="Times New Roman" w:cs="Times New Roman"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sz w:val="28"/>
          <w:szCs w:val="28"/>
        </w:rPr>
        <w:t>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 xml:space="preserve">інгу (цькуванню) в закладах освіти, порядок реагування на випадки булінгу (цькування), порядок застосування заходів виховного впливу, а також узагальнює та оприлюднює інформацію про випадки </w:t>
      </w:r>
      <w:proofErr w:type="gramStart"/>
      <w:r w:rsidRPr="00281C57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281C57">
        <w:rPr>
          <w:rFonts w:ascii="Times New Roman" w:hAnsi="Times New Roman" w:cs="Times New Roman"/>
          <w:sz w:val="28"/>
          <w:szCs w:val="28"/>
        </w:rPr>
        <w:t>інгу (цькування) в закладах освіти.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  <w:u w:val="single"/>
        </w:rPr>
        <w:lastRenderedPageBreak/>
        <w:t>Стаття 39</w:t>
      </w:r>
      <w:r w:rsidRPr="00281C57">
        <w:rPr>
          <w:rFonts w:ascii="Times New Roman" w:hAnsi="Times New Roman" w:cs="Times New Roman"/>
          <w:sz w:val="28"/>
          <w:szCs w:val="28"/>
        </w:rPr>
        <w:t xml:space="preserve">. Управління та громадське самоврядування закладу загальної середньої освіти </w:t>
      </w:r>
    </w:p>
    <w:p w:rsidR="00F9141C" w:rsidRPr="00281C57" w:rsidRDefault="00F9141C" w:rsidP="00281C57">
      <w:pPr>
        <w:jc w:val="both"/>
        <w:rPr>
          <w:rFonts w:ascii="Times New Roman" w:hAnsi="Times New Roman" w:cs="Times New Roman"/>
          <w:sz w:val="28"/>
          <w:szCs w:val="28"/>
        </w:rPr>
      </w:pPr>
      <w:r w:rsidRPr="00281C57">
        <w:rPr>
          <w:rFonts w:ascii="Times New Roman" w:hAnsi="Times New Roman" w:cs="Times New Roman"/>
          <w:sz w:val="28"/>
          <w:szCs w:val="28"/>
        </w:rPr>
        <w:t>5. Громадський нагляд (контроль) у сфері загальної середньої освіти здійснюється відповідно до статті 71 Закону України «Про освіту».</w:t>
      </w:r>
    </w:p>
    <w:p w:rsidR="00E918B0" w:rsidRPr="00281C57" w:rsidRDefault="00E918B0" w:rsidP="00F9141C">
      <w:pPr>
        <w:rPr>
          <w:rFonts w:ascii="Times New Roman" w:hAnsi="Times New Roman" w:cs="Times New Roman"/>
          <w:sz w:val="28"/>
          <w:szCs w:val="28"/>
        </w:rPr>
      </w:pPr>
    </w:p>
    <w:sectPr w:rsidR="00E918B0" w:rsidRPr="00281C57" w:rsidSect="00E9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9141C"/>
    <w:rsid w:val="00237CAE"/>
    <w:rsid w:val="00281C57"/>
    <w:rsid w:val="002C49A2"/>
    <w:rsid w:val="003E5D61"/>
    <w:rsid w:val="004853AC"/>
    <w:rsid w:val="00C15853"/>
    <w:rsid w:val="00D84D11"/>
    <w:rsid w:val="00E8559C"/>
    <w:rsid w:val="00E918B0"/>
    <w:rsid w:val="00F9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2020-06-05T19:18:00Z</dcterms:created>
  <dcterms:modified xsi:type="dcterms:W3CDTF">2020-06-06T20:37:00Z</dcterms:modified>
</cp:coreProperties>
</file>